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4"/>
        </w:rPr>
      </w:pPr>
    </w:p>
    <w:p>
      <w:pPr>
        <w:jc w:val="center"/>
        <w:rPr>
          <w:rFonts w:ascii="方正小标宋简体" w:eastAsia="方正小标宋简体"/>
          <w:b/>
          <w:bCs/>
          <w:sz w:val="32"/>
          <w:szCs w:val="32"/>
        </w:rPr>
      </w:pPr>
      <w:r>
        <w:rPr>
          <w:rFonts w:hint="eastAsia" w:ascii="方正小标宋简体" w:eastAsia="方正小标宋简体"/>
          <w:b/>
          <w:bCs/>
          <w:sz w:val="32"/>
          <w:szCs w:val="32"/>
        </w:rPr>
        <w:t>河北北方学院研究生学院</w:t>
      </w:r>
    </w:p>
    <w:p>
      <w:pPr>
        <w:jc w:val="center"/>
        <w:rPr>
          <w:rFonts w:ascii="方正小标宋简体" w:eastAsia="方正小标宋简体"/>
          <w:b/>
          <w:bCs/>
          <w:sz w:val="32"/>
          <w:szCs w:val="32"/>
        </w:rPr>
      </w:pPr>
      <w:r>
        <w:rPr>
          <w:rFonts w:hint="eastAsia" w:ascii="方正小标宋简体" w:eastAsia="方正小标宋简体"/>
          <w:b/>
          <w:bCs/>
          <w:sz w:val="32"/>
          <w:szCs w:val="32"/>
        </w:rPr>
        <w:t>关于2024届毕业研究生论文答辩</w:t>
      </w:r>
      <w:r>
        <w:rPr>
          <w:rFonts w:hint="eastAsia" w:ascii="方正小标宋简体" w:eastAsia="方正小标宋简体"/>
          <w:b/>
          <w:bCs/>
          <w:sz w:val="32"/>
          <w:szCs w:val="32"/>
          <w:lang w:val="en-US" w:eastAsia="zh-CN"/>
        </w:rPr>
        <w:t>有关</w:t>
      </w:r>
      <w:r>
        <w:rPr>
          <w:rFonts w:hint="eastAsia" w:ascii="方正小标宋简体" w:eastAsia="方正小标宋简体"/>
          <w:b/>
          <w:bCs/>
          <w:sz w:val="32"/>
          <w:szCs w:val="32"/>
        </w:rPr>
        <w:t>工作的通知</w:t>
      </w:r>
    </w:p>
    <w:p>
      <w:pPr>
        <w:jc w:val="left"/>
        <w:rPr>
          <w:sz w:val="24"/>
        </w:rPr>
      </w:pPr>
    </w:p>
    <w:p>
      <w:pPr>
        <w:jc w:val="left"/>
        <w:rPr>
          <w:sz w:val="24"/>
        </w:rPr>
      </w:pPr>
      <w:r>
        <w:rPr>
          <w:rFonts w:hint="eastAsia"/>
          <w:sz w:val="24"/>
        </w:rPr>
        <w:t>各二级学院、培养（规培）基地：</w:t>
      </w:r>
    </w:p>
    <w:p>
      <w:pPr>
        <w:ind w:firstLine="480" w:firstLineChars="200"/>
        <w:jc w:val="left"/>
        <w:rPr>
          <w:sz w:val="24"/>
        </w:rPr>
      </w:pPr>
      <w:r>
        <w:rPr>
          <w:rFonts w:hint="eastAsia"/>
          <w:sz w:val="24"/>
        </w:rPr>
        <w:t>依据各学科研究生培养方案、实施细则、《河北北方学院关于加强研究生学位（毕业）论文开题报告与答辩工作的通知》（校字</w:t>
      </w:r>
      <w:r>
        <w:rPr>
          <w:sz w:val="24"/>
        </w:rPr>
        <w:t>〔2022〕</w:t>
      </w:r>
      <w:r>
        <w:rPr>
          <w:rFonts w:hint="eastAsia"/>
          <w:sz w:val="24"/>
        </w:rPr>
        <w:t>34号）</w:t>
      </w:r>
      <w:r>
        <w:rPr>
          <w:rFonts w:hint="eastAsia"/>
          <w:sz w:val="24"/>
          <w:lang w:val="en-US" w:eastAsia="zh-CN"/>
        </w:rPr>
        <w:t>等</w:t>
      </w:r>
      <w:r>
        <w:rPr>
          <w:rFonts w:hint="eastAsia"/>
          <w:sz w:val="24"/>
        </w:rPr>
        <w:t>文件</w:t>
      </w:r>
      <w:r>
        <w:rPr>
          <w:rFonts w:hint="eastAsia"/>
          <w:sz w:val="24"/>
          <w:lang w:val="en-US" w:eastAsia="zh-CN"/>
        </w:rPr>
        <w:t>执行</w:t>
      </w:r>
      <w:r>
        <w:rPr>
          <w:rFonts w:hint="eastAsia"/>
          <w:sz w:val="24"/>
        </w:rPr>
        <w:t>，现将2024届毕业研究生学位（毕业）论文答辩工作安排如下，请各单位遵照执行。</w:t>
      </w:r>
    </w:p>
    <w:p>
      <w:pPr>
        <w:numPr>
          <w:ilvl w:val="0"/>
          <w:numId w:val="1"/>
        </w:numPr>
        <w:jc w:val="left"/>
        <w:rPr>
          <w:sz w:val="24"/>
        </w:rPr>
      </w:pPr>
      <w:r>
        <w:rPr>
          <w:rFonts w:hint="eastAsia"/>
          <w:sz w:val="24"/>
        </w:rPr>
        <w:t>答辩时间</w:t>
      </w:r>
    </w:p>
    <w:p>
      <w:pPr>
        <w:jc w:val="left"/>
        <w:rPr>
          <w:sz w:val="24"/>
        </w:rPr>
      </w:pPr>
      <w:r>
        <w:rPr>
          <w:rFonts w:hint="eastAsia"/>
          <w:sz w:val="24"/>
        </w:rPr>
        <w:t xml:space="preserve">   自通知之日起—6月</w:t>
      </w:r>
      <w:r>
        <w:rPr>
          <w:sz w:val="24"/>
        </w:rPr>
        <w:t>9</w:t>
      </w:r>
      <w:r>
        <w:rPr>
          <w:rFonts w:hint="eastAsia"/>
          <w:sz w:val="24"/>
        </w:rPr>
        <w:t>日止。</w:t>
      </w:r>
      <w:bookmarkStart w:id="0" w:name="_GoBack"/>
      <w:bookmarkEnd w:id="0"/>
    </w:p>
    <w:p>
      <w:pPr>
        <w:numPr>
          <w:ilvl w:val="0"/>
          <w:numId w:val="1"/>
        </w:numPr>
        <w:jc w:val="left"/>
        <w:rPr>
          <w:sz w:val="24"/>
        </w:rPr>
      </w:pPr>
      <w:r>
        <w:rPr>
          <w:rFonts w:hint="eastAsia"/>
          <w:sz w:val="24"/>
        </w:rPr>
        <w:t>答辩研究生范围</w:t>
      </w:r>
    </w:p>
    <w:p>
      <w:pPr>
        <w:ind w:firstLine="480" w:firstLineChars="200"/>
        <w:jc w:val="left"/>
        <w:rPr>
          <w:sz w:val="24"/>
        </w:rPr>
      </w:pPr>
      <w:r>
        <w:rPr>
          <w:rFonts w:hint="eastAsia"/>
          <w:sz w:val="24"/>
        </w:rPr>
        <w:t>已经通过“</w:t>
      </w:r>
      <w:r>
        <w:rPr>
          <w:sz w:val="24"/>
        </w:rPr>
        <w:t>答辩资格审核</w:t>
      </w:r>
      <w:r>
        <w:rPr>
          <w:rFonts w:hint="eastAsia"/>
          <w:sz w:val="24"/>
        </w:rPr>
        <w:t>”、通过论文双盲评审，符合答辩条件的研究生。</w:t>
      </w:r>
    </w:p>
    <w:p>
      <w:pPr>
        <w:numPr>
          <w:ilvl w:val="0"/>
          <w:numId w:val="1"/>
        </w:numPr>
        <w:jc w:val="left"/>
        <w:rPr>
          <w:sz w:val="24"/>
        </w:rPr>
      </w:pPr>
      <w:r>
        <w:rPr>
          <w:rFonts w:hint="eastAsia"/>
          <w:sz w:val="24"/>
        </w:rPr>
        <w:t>答辩委员会组成审批工作</w:t>
      </w:r>
    </w:p>
    <w:p>
      <w:pPr>
        <w:numPr>
          <w:ilvl w:val="0"/>
          <w:numId w:val="2"/>
        </w:numPr>
        <w:jc w:val="left"/>
        <w:rPr>
          <w:sz w:val="24"/>
        </w:rPr>
      </w:pPr>
      <w:r>
        <w:rPr>
          <w:rFonts w:hint="eastAsia"/>
          <w:sz w:val="24"/>
        </w:rPr>
        <w:t>各二级学院、规培基地在答辩前10天，组织导师、研究生填报“答辩申请”、“答辩委员会组成审批表”，将信息汇总至“答辩安排信息.XLS”文件，报所在学院、规培基地管理部门审核。</w:t>
      </w:r>
    </w:p>
    <w:p>
      <w:pPr>
        <w:numPr>
          <w:ilvl w:val="0"/>
          <w:numId w:val="2"/>
        </w:numPr>
        <w:jc w:val="left"/>
        <w:rPr>
          <w:sz w:val="24"/>
        </w:rPr>
      </w:pPr>
      <w:r>
        <w:rPr>
          <w:rFonts w:hint="eastAsia"/>
          <w:sz w:val="24"/>
        </w:rPr>
        <w:t>答辩申请及答辩委员会组成经各学院、基地审核后，于答辩前5天将“答辩安排信息.XLS”报研究生学院复核。农业硕士、教育硕士应分领域经所在学院审核后报送研究生学院复核。</w:t>
      </w:r>
    </w:p>
    <w:p>
      <w:pPr>
        <w:numPr>
          <w:ilvl w:val="0"/>
          <w:numId w:val="2"/>
        </w:numPr>
        <w:jc w:val="left"/>
        <w:rPr>
          <w:sz w:val="24"/>
        </w:rPr>
      </w:pPr>
      <w:r>
        <w:rPr>
          <w:rFonts w:hint="eastAsia"/>
          <w:sz w:val="24"/>
        </w:rPr>
        <w:t>临床医学学术学位研究生答辩委员会组成审批工作由研究生学院实施，各培养单位应在答辩前1周内报研究生学院审核。</w:t>
      </w:r>
    </w:p>
    <w:p>
      <w:pPr>
        <w:numPr>
          <w:ilvl w:val="0"/>
          <w:numId w:val="2"/>
        </w:numPr>
        <w:jc w:val="left"/>
        <w:rPr>
          <w:sz w:val="24"/>
        </w:rPr>
      </w:pPr>
      <w:r>
        <w:rPr>
          <w:rFonts w:hint="eastAsia"/>
          <w:sz w:val="24"/>
        </w:rPr>
        <w:t>研究生学院复核合格后，各学院方可按复核结果开展论文答辩工作。</w:t>
      </w:r>
    </w:p>
    <w:p>
      <w:pPr>
        <w:numPr>
          <w:ilvl w:val="0"/>
          <w:numId w:val="1"/>
        </w:numPr>
        <w:jc w:val="left"/>
        <w:rPr>
          <w:sz w:val="24"/>
        </w:rPr>
      </w:pPr>
      <w:r>
        <w:rPr>
          <w:rFonts w:hint="eastAsia"/>
          <w:sz w:val="24"/>
        </w:rPr>
        <w:t>答辩实施工作</w:t>
      </w:r>
    </w:p>
    <w:p>
      <w:pPr>
        <w:jc w:val="left"/>
        <w:rPr>
          <w:sz w:val="24"/>
        </w:rPr>
      </w:pPr>
      <w:r>
        <w:rPr>
          <w:rFonts w:hint="eastAsia"/>
          <w:sz w:val="24"/>
        </w:rPr>
        <w:t xml:space="preserve">  各学院、学科、基地请按照《河北北方学院关于加强研究生学位（毕业）论文开题报告与答辩工作的通知》（校字[2022]34号）</w:t>
      </w:r>
      <w:r>
        <w:rPr>
          <w:rFonts w:hint="eastAsia"/>
          <w:sz w:val="24"/>
          <w:lang w:val="en-US" w:eastAsia="zh-CN"/>
        </w:rPr>
        <w:t>文件</w:t>
      </w:r>
      <w:r>
        <w:rPr>
          <w:rFonts w:hint="eastAsia"/>
          <w:sz w:val="24"/>
        </w:rPr>
        <w:t>执行，研究生学院将按照各单位论文答辩工作时间安排进行督查。</w:t>
      </w:r>
    </w:p>
    <w:p>
      <w:pPr>
        <w:jc w:val="left"/>
        <w:rPr>
          <w:sz w:val="24"/>
        </w:rPr>
      </w:pPr>
      <w:r>
        <w:rPr>
          <w:rFonts w:hint="eastAsia"/>
          <w:sz w:val="24"/>
        </w:rPr>
        <w:t>五、其他问题</w:t>
      </w:r>
    </w:p>
    <w:p>
      <w:pPr>
        <w:ind w:firstLine="240" w:firstLineChars="100"/>
        <w:jc w:val="left"/>
        <w:rPr>
          <w:sz w:val="24"/>
        </w:rPr>
      </w:pPr>
      <w:r>
        <w:rPr>
          <w:rFonts w:hint="eastAsia"/>
          <w:sz w:val="24"/>
        </w:rPr>
        <w:t>未尽事宜，由研究生学院负责解释。</w:t>
      </w:r>
    </w:p>
    <w:p>
      <w:pPr>
        <w:jc w:val="left"/>
        <w:rPr>
          <w:sz w:val="24"/>
        </w:rPr>
      </w:pPr>
      <w:r>
        <w:rPr>
          <w:rFonts w:hint="eastAsia"/>
          <w:sz w:val="24"/>
        </w:rPr>
        <w:t xml:space="preserve">   </w:t>
      </w:r>
    </w:p>
    <w:p>
      <w:pPr>
        <w:jc w:val="left"/>
        <w:rPr>
          <w:sz w:val="24"/>
        </w:rPr>
      </w:pPr>
      <w:r>
        <w:rPr>
          <w:rFonts w:hint="eastAsia"/>
          <w:sz w:val="24"/>
        </w:rPr>
        <w:t>附件1：答辩安排信息</w:t>
      </w:r>
    </w:p>
    <w:p>
      <w:pPr>
        <w:jc w:val="left"/>
        <w:rPr>
          <w:sz w:val="24"/>
        </w:rPr>
      </w:pPr>
      <w:r>
        <w:rPr>
          <w:rFonts w:hint="eastAsia"/>
          <w:sz w:val="24"/>
        </w:rPr>
        <w:t>附件2：答辩结果汇总</w:t>
      </w:r>
    </w:p>
    <w:p>
      <w:pPr>
        <w:jc w:val="left"/>
        <w:rPr>
          <w:sz w:val="24"/>
        </w:rPr>
      </w:pPr>
      <w:r>
        <w:rPr>
          <w:rFonts w:hint="eastAsia"/>
          <w:sz w:val="24"/>
        </w:rPr>
        <w:t>附件3：</w:t>
      </w:r>
      <w:r>
        <w:rPr>
          <w:sz w:val="24"/>
        </w:rPr>
        <w:t>校字〔2022〕34号-关于加强研究生学位毕业论文开题报告与答辩工作的通知</w:t>
      </w:r>
    </w:p>
    <w:p>
      <w:pPr>
        <w:ind w:firstLine="480" w:firstLineChars="200"/>
        <w:jc w:val="left"/>
        <w:rPr>
          <w:sz w:val="24"/>
        </w:rPr>
      </w:pPr>
    </w:p>
    <w:p>
      <w:pPr>
        <w:jc w:val="center"/>
        <w:rPr>
          <w:sz w:val="24"/>
        </w:rPr>
      </w:pPr>
      <w:r>
        <w:rPr>
          <w:rFonts w:hint="eastAsia"/>
          <w:sz w:val="24"/>
        </w:rPr>
        <w:t xml:space="preserve">                                           河北北方学院研究生学院</w:t>
      </w:r>
    </w:p>
    <w:p>
      <w:pPr>
        <w:ind w:right="651" w:rightChars="310"/>
        <w:jc w:val="right"/>
        <w:rPr>
          <w:sz w:val="24"/>
        </w:rPr>
      </w:pPr>
      <w:r>
        <w:rPr>
          <w:rFonts w:hint="eastAsia"/>
          <w:sz w:val="24"/>
        </w:rPr>
        <w:t>2024年5月</w:t>
      </w:r>
      <w:r>
        <w:rPr>
          <w:sz w:val="24"/>
        </w:rPr>
        <w:t>7</w:t>
      </w:r>
      <w:r>
        <w:rPr>
          <w:rFonts w:hint="eastAsia"/>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9793BC"/>
    <w:multiLevelType w:val="singleLevel"/>
    <w:tmpl w:val="139793BC"/>
    <w:lvl w:ilvl="0" w:tentative="0">
      <w:start w:val="1"/>
      <w:numFmt w:val="decimal"/>
      <w:suff w:val="space"/>
      <w:lvlText w:val="%1."/>
      <w:lvlJc w:val="left"/>
      <w:pPr>
        <w:ind w:left="240" w:firstLine="0"/>
      </w:pPr>
    </w:lvl>
  </w:abstractNum>
  <w:abstractNum w:abstractNumId="1">
    <w:nsid w:val="4B87ABAD"/>
    <w:multiLevelType w:val="singleLevel"/>
    <w:tmpl w:val="4B87ABA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xNmNlY2YyZTZiYmRmYTRjYzZhMmMyNTJmNDU2NTQifQ=="/>
  </w:docVars>
  <w:rsids>
    <w:rsidRoot w:val="003270F1"/>
    <w:rsid w:val="00051267"/>
    <w:rsid w:val="00101FEF"/>
    <w:rsid w:val="001A45B4"/>
    <w:rsid w:val="001D7A4B"/>
    <w:rsid w:val="00274418"/>
    <w:rsid w:val="0030254B"/>
    <w:rsid w:val="00325BD0"/>
    <w:rsid w:val="003270F1"/>
    <w:rsid w:val="003D2D39"/>
    <w:rsid w:val="00430443"/>
    <w:rsid w:val="004879F7"/>
    <w:rsid w:val="005D4230"/>
    <w:rsid w:val="005F5FAB"/>
    <w:rsid w:val="007D6E18"/>
    <w:rsid w:val="00843218"/>
    <w:rsid w:val="00950DF8"/>
    <w:rsid w:val="009B5674"/>
    <w:rsid w:val="00A32865"/>
    <w:rsid w:val="00BA4387"/>
    <w:rsid w:val="00BF7FA3"/>
    <w:rsid w:val="00DD4665"/>
    <w:rsid w:val="00FC4165"/>
    <w:rsid w:val="03EA4D45"/>
    <w:rsid w:val="066410F1"/>
    <w:rsid w:val="06BD4451"/>
    <w:rsid w:val="0C833643"/>
    <w:rsid w:val="0E0434FC"/>
    <w:rsid w:val="1122342A"/>
    <w:rsid w:val="12502EAB"/>
    <w:rsid w:val="1B817D34"/>
    <w:rsid w:val="1BBE4697"/>
    <w:rsid w:val="1DD634EE"/>
    <w:rsid w:val="1EA2204E"/>
    <w:rsid w:val="221D6CC0"/>
    <w:rsid w:val="22323839"/>
    <w:rsid w:val="297003DE"/>
    <w:rsid w:val="2B0B66CD"/>
    <w:rsid w:val="2E4B7600"/>
    <w:rsid w:val="30E02280"/>
    <w:rsid w:val="323462BE"/>
    <w:rsid w:val="323C79FC"/>
    <w:rsid w:val="32ED1692"/>
    <w:rsid w:val="3AA55353"/>
    <w:rsid w:val="3C7A2B4D"/>
    <w:rsid w:val="3C8D1E4E"/>
    <w:rsid w:val="41AD3C00"/>
    <w:rsid w:val="44876DF7"/>
    <w:rsid w:val="48FD4465"/>
    <w:rsid w:val="4C4F6197"/>
    <w:rsid w:val="53AB4FC2"/>
    <w:rsid w:val="56A44C71"/>
    <w:rsid w:val="57356D30"/>
    <w:rsid w:val="5D2D2BE4"/>
    <w:rsid w:val="67E713EE"/>
    <w:rsid w:val="6D7E01BE"/>
    <w:rsid w:val="75A10B1A"/>
    <w:rsid w:val="7BC41E31"/>
    <w:rsid w:val="7C004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autoRedefine/>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E7156-96E7-4C1E-9EBF-A19E9CDC5923}">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112</Words>
  <Characters>640</Characters>
  <Lines>5</Lines>
  <Paragraphs>1</Paragraphs>
  <TotalTime>0</TotalTime>
  <ScaleCrop>false</ScaleCrop>
  <LinksUpToDate>false</LinksUpToDate>
  <CharactersWithSpaces>751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2023-04-11T06:34:00Z</dcterms:created>
  <dc:creator>Administrator</dc:creator>
  <cp:lastModifiedBy>Administrator</cp:lastModifiedBy>
  <dcterms:modified xsi:type="dcterms:W3CDTF">2024-05-11T02:42:30Z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1DA7188E999F446EBC1BE5CA4DB56F25_13</vt:lpwstr>
  </property>
</Properties>
</file>